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E8740" w14:textId="77777777" w:rsidR="00355CDA" w:rsidRPr="00795108" w:rsidRDefault="00795108" w:rsidP="00355CDA">
      <w:pPr>
        <w:jc w:val="left"/>
        <w:rPr>
          <w:b/>
          <w:szCs w:val="28"/>
        </w:rPr>
      </w:pPr>
      <w:r w:rsidRPr="00795108">
        <w:rPr>
          <w:b/>
          <w:szCs w:val="28"/>
        </w:rPr>
        <w:t>TÊN ĐƠN VỊ</w:t>
      </w:r>
      <w:r>
        <w:rPr>
          <w:b/>
          <w:szCs w:val="28"/>
        </w:rPr>
        <w:t>:</w:t>
      </w:r>
    </w:p>
    <w:p w14:paraId="58E76CF4" w14:textId="77777777" w:rsidR="00355CDA" w:rsidRDefault="00355CDA" w:rsidP="00355CDA">
      <w:pPr>
        <w:jc w:val="center"/>
        <w:rPr>
          <w:b/>
          <w:szCs w:val="28"/>
        </w:rPr>
      </w:pPr>
    </w:p>
    <w:p w14:paraId="414BAA27" w14:textId="77777777" w:rsidR="00355CDA" w:rsidRPr="00F47C97" w:rsidRDefault="00355CDA" w:rsidP="00355CDA">
      <w:pPr>
        <w:jc w:val="center"/>
        <w:rPr>
          <w:b/>
          <w:szCs w:val="28"/>
        </w:rPr>
      </w:pPr>
      <w:r w:rsidRPr="00F47C97">
        <w:rPr>
          <w:b/>
          <w:szCs w:val="28"/>
        </w:rPr>
        <w:t>BẢNG ĐÁNH GIÁ THI ĐUA PHÒNG GIÁO DỤC VÀ ĐÀO TẠO</w:t>
      </w:r>
      <w:r w:rsidR="008D6A86">
        <w:rPr>
          <w:b/>
          <w:szCs w:val="28"/>
        </w:rPr>
        <w:t xml:space="preserve"> 2018 - 2019</w:t>
      </w:r>
    </w:p>
    <w:p w14:paraId="0ECB6806" w14:textId="77777777" w:rsidR="00355CDA" w:rsidRPr="00F47C97" w:rsidRDefault="00355CDA" w:rsidP="00355CDA">
      <w:pPr>
        <w:jc w:val="center"/>
        <w:rPr>
          <w:b/>
          <w:bCs/>
          <w:iCs/>
          <w:szCs w:val="28"/>
        </w:rPr>
      </w:pPr>
      <w:r w:rsidRPr="00F47C97">
        <w:rPr>
          <w:b/>
          <w:bCs/>
          <w:iCs/>
          <w:szCs w:val="28"/>
        </w:rPr>
        <w:t>Tiêu chuẩn: 100 điểm</w:t>
      </w:r>
    </w:p>
    <w:p w14:paraId="2C625718" w14:textId="77777777" w:rsidR="00355CDA" w:rsidRPr="00F47C97" w:rsidRDefault="00355CDA" w:rsidP="00355CDA">
      <w:pPr>
        <w:jc w:val="center"/>
        <w:rPr>
          <w:b/>
          <w:bCs/>
          <w:i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3"/>
        <w:gridCol w:w="1050"/>
        <w:gridCol w:w="1356"/>
        <w:gridCol w:w="1500"/>
      </w:tblGrid>
      <w:tr w:rsidR="00355CDA" w:rsidRPr="00F04E6D" w14:paraId="3A8D5D96" w14:textId="77777777" w:rsidTr="00001F79">
        <w:tc>
          <w:tcPr>
            <w:tcW w:w="2972" w:type="pct"/>
            <w:shd w:val="clear" w:color="auto" w:fill="auto"/>
            <w:vAlign w:val="center"/>
          </w:tcPr>
          <w:p w14:paraId="53B3EDF0" w14:textId="77777777" w:rsidR="00355CDA" w:rsidRPr="00F04E6D" w:rsidRDefault="00355CDA" w:rsidP="00001F79">
            <w:pPr>
              <w:pStyle w:val="BodyText2"/>
              <w:spacing w:after="0" w:line="240" w:lineRule="auto"/>
              <w:jc w:val="center"/>
              <w:rPr>
                <w:b/>
                <w:szCs w:val="28"/>
              </w:rPr>
            </w:pPr>
            <w:r w:rsidRPr="00F04E6D">
              <w:rPr>
                <w:b/>
                <w:szCs w:val="28"/>
              </w:rPr>
              <w:t>Nội dung</w:t>
            </w:r>
          </w:p>
        </w:tc>
        <w:tc>
          <w:tcPr>
            <w:tcW w:w="545" w:type="pct"/>
            <w:shd w:val="clear" w:color="auto" w:fill="auto"/>
            <w:vAlign w:val="center"/>
          </w:tcPr>
          <w:p w14:paraId="38BBEF33" w14:textId="77777777" w:rsidR="00355CDA" w:rsidRDefault="00355CDA" w:rsidP="00001F79">
            <w:pPr>
              <w:pStyle w:val="BodyText2"/>
              <w:spacing w:after="0" w:line="240" w:lineRule="auto"/>
              <w:jc w:val="center"/>
              <w:rPr>
                <w:b/>
                <w:szCs w:val="28"/>
              </w:rPr>
            </w:pPr>
            <w:r w:rsidRPr="00F04E6D">
              <w:rPr>
                <w:b/>
                <w:szCs w:val="28"/>
              </w:rPr>
              <w:t>Điể</w:t>
            </w:r>
            <w:r>
              <w:rPr>
                <w:b/>
                <w:szCs w:val="28"/>
              </w:rPr>
              <w:t>m</w:t>
            </w:r>
          </w:p>
          <w:p w14:paraId="1CD4374B" w14:textId="77777777" w:rsidR="00355CDA" w:rsidRPr="00F04E6D" w:rsidRDefault="00355CDA" w:rsidP="00001F79">
            <w:pPr>
              <w:pStyle w:val="BodyText2"/>
              <w:spacing w:after="0" w:line="240" w:lineRule="auto"/>
              <w:jc w:val="center"/>
              <w:rPr>
                <w:b/>
                <w:szCs w:val="28"/>
              </w:rPr>
            </w:pPr>
            <w:r w:rsidRPr="00F04E6D">
              <w:rPr>
                <w:b/>
                <w:szCs w:val="28"/>
              </w:rPr>
              <w:t>qui định</w:t>
            </w:r>
          </w:p>
        </w:tc>
        <w:tc>
          <w:tcPr>
            <w:tcW w:w="704" w:type="pct"/>
            <w:shd w:val="clear" w:color="auto" w:fill="auto"/>
            <w:vAlign w:val="center"/>
          </w:tcPr>
          <w:p w14:paraId="145A01D4" w14:textId="77777777" w:rsidR="00355CDA" w:rsidRDefault="00355CDA" w:rsidP="00001F79">
            <w:pPr>
              <w:pStyle w:val="BodyText2"/>
              <w:spacing w:after="0" w:line="240" w:lineRule="auto"/>
              <w:jc w:val="center"/>
              <w:rPr>
                <w:b/>
                <w:szCs w:val="28"/>
              </w:rPr>
            </w:pPr>
            <w:r w:rsidRPr="00F04E6D">
              <w:rPr>
                <w:b/>
                <w:szCs w:val="28"/>
              </w:rPr>
              <w:t>Điểm tự</w:t>
            </w:r>
          </w:p>
          <w:p w14:paraId="5C04E3BA" w14:textId="77777777" w:rsidR="00355CDA" w:rsidRPr="00F04E6D" w:rsidRDefault="00355CDA" w:rsidP="00001F79">
            <w:pPr>
              <w:pStyle w:val="BodyText2"/>
              <w:spacing w:after="0" w:line="240" w:lineRule="auto"/>
              <w:jc w:val="center"/>
              <w:rPr>
                <w:b/>
                <w:szCs w:val="28"/>
              </w:rPr>
            </w:pPr>
            <w:r w:rsidRPr="00F04E6D">
              <w:rPr>
                <w:b/>
                <w:szCs w:val="28"/>
              </w:rPr>
              <w:t>đánh giá</w:t>
            </w:r>
          </w:p>
        </w:tc>
        <w:tc>
          <w:tcPr>
            <w:tcW w:w="779" w:type="pct"/>
          </w:tcPr>
          <w:p w14:paraId="42A13BE0" w14:textId="77777777" w:rsidR="00355CDA" w:rsidRDefault="00355CDA" w:rsidP="00001F79">
            <w:pPr>
              <w:pStyle w:val="BodyText2"/>
              <w:spacing w:after="0" w:line="240" w:lineRule="auto"/>
              <w:jc w:val="center"/>
              <w:rPr>
                <w:b/>
                <w:szCs w:val="28"/>
              </w:rPr>
            </w:pPr>
            <w:r>
              <w:rPr>
                <w:b/>
                <w:szCs w:val="28"/>
              </w:rPr>
              <w:t>Ghi chú,</w:t>
            </w:r>
          </w:p>
          <w:p w14:paraId="3E82CA08" w14:textId="77777777" w:rsidR="00355CDA" w:rsidRPr="00F04E6D" w:rsidRDefault="00355CDA" w:rsidP="00001F79">
            <w:pPr>
              <w:pStyle w:val="BodyText2"/>
              <w:spacing w:after="0" w:line="240" w:lineRule="auto"/>
              <w:jc w:val="center"/>
              <w:rPr>
                <w:b/>
                <w:szCs w:val="28"/>
              </w:rPr>
            </w:pPr>
            <w:r w:rsidRPr="00F04E6D">
              <w:rPr>
                <w:b/>
                <w:szCs w:val="28"/>
              </w:rPr>
              <w:t>Minh chứng</w:t>
            </w:r>
          </w:p>
        </w:tc>
      </w:tr>
      <w:tr w:rsidR="00355CDA" w:rsidRPr="00F04E6D" w14:paraId="217DD4F7" w14:textId="77777777" w:rsidTr="00001F79">
        <w:tc>
          <w:tcPr>
            <w:tcW w:w="2972" w:type="pct"/>
            <w:shd w:val="clear" w:color="auto" w:fill="auto"/>
          </w:tcPr>
          <w:p w14:paraId="5C4C24AC" w14:textId="77777777" w:rsidR="00355CDA" w:rsidRPr="00F04E6D" w:rsidRDefault="00355CDA" w:rsidP="00001F79">
            <w:pPr>
              <w:pStyle w:val="BodyText2"/>
              <w:spacing w:before="120" w:after="0" w:line="240" w:lineRule="auto"/>
              <w:rPr>
                <w:b/>
                <w:szCs w:val="28"/>
              </w:rPr>
            </w:pPr>
            <w:r w:rsidRPr="00F04E6D">
              <w:rPr>
                <w:b/>
                <w:szCs w:val="28"/>
              </w:rPr>
              <w:t>1/- Việc đầu tư xây dựng cơ sở vật chất, xây dựng trường lớp tại địa phương.</w:t>
            </w:r>
          </w:p>
          <w:p w14:paraId="7027CAE0" w14:textId="77777777" w:rsidR="00355CDA" w:rsidRPr="00F04E6D" w:rsidRDefault="00355CDA" w:rsidP="00001F79">
            <w:pPr>
              <w:pStyle w:val="BodyText2"/>
              <w:spacing w:before="120" w:after="0" w:line="240" w:lineRule="auto"/>
              <w:rPr>
                <w:szCs w:val="28"/>
              </w:rPr>
            </w:pPr>
            <w:r w:rsidRPr="00F04E6D">
              <w:rPr>
                <w:szCs w:val="28"/>
              </w:rPr>
              <w:t>- Đầu tư xây dựng cơ sở vật chất cho các đơn vị giáo dục trên địa bàn đáp ứng nhu cầu học tập của mọi học sinh. Mỗi cấp học có ít nhất 01 trường đạt chuẩn QG (không kể đơn vị không duy trì được chuẩn) hoặc trường tiên tiến hội nhập; có phòng hỗ trợ học sinh hòa nhập (đối với trường có học sinh hòa nhập).</w:t>
            </w:r>
          </w:p>
          <w:p w14:paraId="419EDEE6" w14:textId="77777777" w:rsidR="00355CDA" w:rsidRPr="00F04E6D" w:rsidRDefault="00355CDA" w:rsidP="00001F79">
            <w:pPr>
              <w:pStyle w:val="BodyText2"/>
              <w:spacing w:before="120" w:after="0" w:line="240" w:lineRule="auto"/>
              <w:rPr>
                <w:szCs w:val="28"/>
              </w:rPr>
            </w:pPr>
            <w:r w:rsidRPr="00F04E6D">
              <w:rPr>
                <w:szCs w:val="28"/>
              </w:rPr>
              <w:t>- Tăng cường đầu tư, sửa chữa cơ sở vật chất trường lớp, trang thiết bị phục vụ giảng dạy, xây dựng mô hình trường tiên tiến hiện đại, xây dựng trường theo chuẩn quốc gia ở mỗi bậc học, chú trọng việc xây dựng trường có thư viện, phòng thiết bị thí nghiệm, phòng học bộ môn và 100% trường trung học phòng máy vi tính có kết nối internet đạt chuẩn.</w:t>
            </w:r>
          </w:p>
        </w:tc>
        <w:tc>
          <w:tcPr>
            <w:tcW w:w="545" w:type="pct"/>
            <w:shd w:val="clear" w:color="auto" w:fill="auto"/>
            <w:vAlign w:val="center"/>
          </w:tcPr>
          <w:p w14:paraId="06D9EA36" w14:textId="77777777" w:rsidR="00355CDA" w:rsidRPr="00F04E6D" w:rsidRDefault="00355CDA" w:rsidP="00001F79">
            <w:pPr>
              <w:pStyle w:val="BodyText2"/>
              <w:spacing w:after="0" w:line="240" w:lineRule="auto"/>
              <w:jc w:val="center"/>
              <w:rPr>
                <w:szCs w:val="28"/>
              </w:rPr>
            </w:pPr>
            <w:r w:rsidRPr="00F04E6D">
              <w:rPr>
                <w:szCs w:val="28"/>
              </w:rPr>
              <w:t>20 điểm</w:t>
            </w:r>
          </w:p>
        </w:tc>
        <w:tc>
          <w:tcPr>
            <w:tcW w:w="704" w:type="pct"/>
            <w:shd w:val="clear" w:color="auto" w:fill="auto"/>
          </w:tcPr>
          <w:p w14:paraId="70FAC61F" w14:textId="77777777" w:rsidR="00355CDA" w:rsidRPr="00F04E6D" w:rsidRDefault="00355CDA" w:rsidP="00001F79">
            <w:pPr>
              <w:pStyle w:val="BodyText2"/>
              <w:spacing w:after="0" w:line="240" w:lineRule="auto"/>
              <w:jc w:val="right"/>
              <w:rPr>
                <w:i/>
                <w:szCs w:val="28"/>
              </w:rPr>
            </w:pPr>
          </w:p>
        </w:tc>
        <w:tc>
          <w:tcPr>
            <w:tcW w:w="779" w:type="pct"/>
          </w:tcPr>
          <w:p w14:paraId="5F8F8F6B" w14:textId="77777777" w:rsidR="00355CDA" w:rsidRPr="00F04E6D" w:rsidRDefault="00355CDA" w:rsidP="00001F79">
            <w:pPr>
              <w:pStyle w:val="BodyText2"/>
              <w:spacing w:after="0" w:line="240" w:lineRule="auto"/>
              <w:jc w:val="right"/>
              <w:rPr>
                <w:i/>
                <w:szCs w:val="28"/>
              </w:rPr>
            </w:pPr>
          </w:p>
        </w:tc>
      </w:tr>
      <w:tr w:rsidR="00355CDA" w:rsidRPr="00F04E6D" w14:paraId="5BF4F482" w14:textId="77777777" w:rsidTr="00001F79">
        <w:tc>
          <w:tcPr>
            <w:tcW w:w="2972" w:type="pct"/>
            <w:shd w:val="clear" w:color="auto" w:fill="auto"/>
          </w:tcPr>
          <w:p w14:paraId="735FBA14" w14:textId="77777777" w:rsidR="00355CDA" w:rsidRPr="00F04E6D" w:rsidRDefault="00355CDA" w:rsidP="00001F79">
            <w:pPr>
              <w:pStyle w:val="BodyText2"/>
              <w:spacing w:before="120" w:after="0" w:line="240" w:lineRule="auto"/>
              <w:rPr>
                <w:szCs w:val="28"/>
              </w:rPr>
            </w:pPr>
            <w:r w:rsidRPr="00F04E6D">
              <w:rPr>
                <w:szCs w:val="28"/>
              </w:rPr>
              <w:t xml:space="preserve">2/- </w:t>
            </w:r>
            <w:r w:rsidRPr="00F04E6D">
              <w:rPr>
                <w:b/>
                <w:szCs w:val="28"/>
              </w:rPr>
              <w:t>Việc phát triển số lượng, chất lượng các bậc học.</w:t>
            </w:r>
          </w:p>
          <w:p w14:paraId="3A7293DE" w14:textId="77777777" w:rsidR="00355CDA" w:rsidRPr="00F04E6D" w:rsidRDefault="00355CDA" w:rsidP="00001F79">
            <w:pPr>
              <w:pStyle w:val="BodyText2"/>
              <w:spacing w:before="120" w:after="0" w:line="240" w:lineRule="auto"/>
              <w:rPr>
                <w:szCs w:val="28"/>
              </w:rPr>
            </w:pPr>
            <w:r w:rsidRPr="00F04E6D">
              <w:rPr>
                <w:szCs w:val="28"/>
              </w:rPr>
              <w:t>- Đạt chỉ tiêu huy động trẻ đến trường ở các cấp học.</w:t>
            </w:r>
          </w:p>
          <w:p w14:paraId="589F7633" w14:textId="77777777" w:rsidR="00355CDA" w:rsidRPr="00F04E6D" w:rsidRDefault="00355CDA" w:rsidP="00001F79">
            <w:pPr>
              <w:pStyle w:val="BodyText2"/>
              <w:spacing w:before="120" w:after="0" w:line="240" w:lineRule="auto"/>
              <w:rPr>
                <w:szCs w:val="28"/>
              </w:rPr>
            </w:pPr>
            <w:r w:rsidRPr="00F04E6D">
              <w:rPr>
                <w:szCs w:val="28"/>
              </w:rPr>
              <w:t>- Có trường dạy trẻ khuyết tật tại quận, huyện.</w:t>
            </w:r>
          </w:p>
          <w:p w14:paraId="78867876" w14:textId="77777777" w:rsidR="00355CDA" w:rsidRPr="00F04E6D" w:rsidRDefault="00355CDA" w:rsidP="00001F79">
            <w:pPr>
              <w:pStyle w:val="BodyText2"/>
              <w:spacing w:before="120" w:after="0" w:line="240" w:lineRule="auto"/>
              <w:rPr>
                <w:szCs w:val="28"/>
              </w:rPr>
            </w:pPr>
            <w:r w:rsidRPr="00F04E6D">
              <w:rPr>
                <w:szCs w:val="28"/>
              </w:rPr>
              <w:t>- Quan tâm, tạo điều kiện để nâng cao chất lượng đội ngũ sư phạm; tổ chức bồi dưỡng CBQL, giáo viên thực hiện hiệu quả đổi mới dạy học, Ứng dụng CNTT trong quản lý và dạy học; không có giáo viên vi phạm đạo đức nhà giáo.</w:t>
            </w:r>
          </w:p>
          <w:p w14:paraId="59C84352" w14:textId="77777777" w:rsidR="00355CDA" w:rsidRPr="00F04E6D" w:rsidRDefault="00355CDA" w:rsidP="00001F79">
            <w:pPr>
              <w:pStyle w:val="BodyText2"/>
              <w:spacing w:before="120" w:after="0" w:line="240" w:lineRule="auto"/>
              <w:rPr>
                <w:szCs w:val="28"/>
              </w:rPr>
            </w:pPr>
            <w:r w:rsidRPr="00F04E6D">
              <w:rPr>
                <w:szCs w:val="28"/>
              </w:rPr>
              <w:t>- Quan tâm tạo điều kiện để các trường thực hiện tốt công tác tự đánh giá; Phòng GDĐT thực hiện giám sát, chỉ đạo các cơ sở GD thực hiện kế hoạch cải tiến chất lượng giáo dục để không ngừng nâng cao chất lượng GD.</w:t>
            </w:r>
          </w:p>
          <w:p w14:paraId="72CB95C0" w14:textId="77777777" w:rsidR="00355CDA" w:rsidRPr="00F04E6D" w:rsidRDefault="00355CDA" w:rsidP="00001F79">
            <w:pPr>
              <w:pStyle w:val="BodyText2"/>
              <w:spacing w:before="120" w:after="0" w:line="240" w:lineRule="auto"/>
              <w:rPr>
                <w:szCs w:val="28"/>
              </w:rPr>
            </w:pPr>
            <w:r w:rsidRPr="00F04E6D">
              <w:rPr>
                <w:szCs w:val="28"/>
              </w:rPr>
              <w:lastRenderedPageBreak/>
              <w:t>2.1 GD Mầm non: thực hiện đề án phổ cập GD Mầm non cho trẻ 5 tuổi đúng tiến độ đã đề ra; đảm bảo chế độ chính sách cho giáo viên MN. Xây dựng cũng cố chất lượng trường MN đạt chuẩn quốc gia.</w:t>
            </w:r>
          </w:p>
          <w:p w14:paraId="073CD559" w14:textId="77777777" w:rsidR="00355CDA" w:rsidRPr="00F04E6D" w:rsidRDefault="00355CDA" w:rsidP="00001F79">
            <w:pPr>
              <w:pStyle w:val="BodyText2"/>
              <w:spacing w:before="120" w:after="0" w:line="240" w:lineRule="auto"/>
              <w:rPr>
                <w:szCs w:val="28"/>
              </w:rPr>
            </w:pPr>
            <w:r w:rsidRPr="00F04E6D">
              <w:rPr>
                <w:szCs w:val="28"/>
              </w:rPr>
              <w:t>2.2 GD Tiểu học: Cũng cố và duy trì kết quả PCGD tiểu học đúng độ tuổi, có kế hoạch xây dựng trường đạt chuẩn quốc gia, quan tâm hỗ trợ chỉ đạo phong trào “Xây dựng trường học thân thiện, học sinh tích cực”. Chú trọng bồi dưỡng nâng cao năng lực cho cán bộ quản lý, tạo điều kiện để cán bộ công chức ngành GD được bồi dưỡng nâng cao trình độ chuyên môn, nghiệp vụ và chính trị.</w:t>
            </w:r>
          </w:p>
          <w:p w14:paraId="43D16EB4" w14:textId="77777777" w:rsidR="00355CDA" w:rsidRPr="00F04E6D" w:rsidRDefault="00355CDA" w:rsidP="00001F79">
            <w:pPr>
              <w:pStyle w:val="BodyText2"/>
              <w:spacing w:before="120" w:after="0" w:line="240" w:lineRule="auto"/>
              <w:rPr>
                <w:szCs w:val="28"/>
              </w:rPr>
            </w:pPr>
            <w:r w:rsidRPr="00F04E6D">
              <w:rPr>
                <w:szCs w:val="28"/>
              </w:rPr>
              <w:t xml:space="preserve">2.3 GD Trung học: </w:t>
            </w:r>
          </w:p>
          <w:p w14:paraId="5490D225" w14:textId="77777777" w:rsidR="00355CDA" w:rsidRPr="00F04E6D" w:rsidRDefault="00355CDA" w:rsidP="00001F79">
            <w:pPr>
              <w:pStyle w:val="BodyText2"/>
              <w:spacing w:before="120" w:after="0" w:line="240" w:lineRule="auto"/>
              <w:rPr>
                <w:szCs w:val="28"/>
              </w:rPr>
            </w:pPr>
            <w:r w:rsidRPr="00F04E6D">
              <w:rPr>
                <w:szCs w:val="28"/>
              </w:rPr>
              <w:t>- Hệ thống trường THCS, THPT, TT GDNN-GDTX được cũng cố, phát triển; quản lý chất lượng GD cả loại hình công lập và ngoài công lập.</w:t>
            </w:r>
          </w:p>
          <w:p w14:paraId="52DABEB7" w14:textId="77777777" w:rsidR="00355CDA" w:rsidRPr="00F04E6D" w:rsidRDefault="00355CDA" w:rsidP="00001F79">
            <w:pPr>
              <w:pStyle w:val="BodyText2"/>
              <w:spacing w:before="120" w:after="0" w:line="240" w:lineRule="auto"/>
              <w:rPr>
                <w:szCs w:val="28"/>
              </w:rPr>
            </w:pPr>
            <w:r w:rsidRPr="00F04E6D">
              <w:rPr>
                <w:szCs w:val="28"/>
              </w:rPr>
              <w:t>- Thực hiện hiệu quả việc đổi mới dạy học, kết hợp tốt giữa lý thuyết và thực hành, thực tế, chính khóa và ngoại khoá; dạy học trải nghiệm, GD STEM; Nâng cao chất lượng hoạt động các Câu lạc bộ (CLB) học thuật, CLB năng khiếu, CLB học sinh NCKH; thực hiện phổ cập bơi lội cho học sinh.</w:t>
            </w:r>
          </w:p>
          <w:p w14:paraId="2CD35430" w14:textId="77777777" w:rsidR="00355CDA" w:rsidRPr="00F04E6D" w:rsidRDefault="00355CDA" w:rsidP="00001F79">
            <w:pPr>
              <w:pStyle w:val="BodyText2"/>
              <w:spacing w:before="120" w:after="0" w:line="240" w:lineRule="auto"/>
              <w:rPr>
                <w:szCs w:val="28"/>
              </w:rPr>
            </w:pPr>
            <w:r w:rsidRPr="00F04E6D">
              <w:rPr>
                <w:szCs w:val="28"/>
              </w:rPr>
              <w:t>- Hướng dẫn và quản lý các trường THCS thực hiện đúng qui định (theo văn bản 2234/GDĐT-TrH) trong việc tổ chức dạy học bổ sung chương trình nước ngoài, dạy học với giáo viên nước ngoài.</w:t>
            </w:r>
          </w:p>
          <w:p w14:paraId="425189E2" w14:textId="77777777" w:rsidR="00355CDA" w:rsidRPr="00F04E6D" w:rsidRDefault="00355CDA" w:rsidP="00001F79">
            <w:pPr>
              <w:pStyle w:val="BodyText2"/>
              <w:spacing w:before="120" w:after="0" w:line="240" w:lineRule="auto"/>
              <w:rPr>
                <w:szCs w:val="28"/>
              </w:rPr>
            </w:pPr>
            <w:r w:rsidRPr="00F04E6D">
              <w:rPr>
                <w:szCs w:val="28"/>
              </w:rPr>
              <w:t>- Thực hiện đầy đủ số liệu dạy nghề PT, thi Nghề THCS trên hệ thống Thông tin QL của Sở GDĐT.</w:t>
            </w:r>
          </w:p>
          <w:p w14:paraId="4D2371C7" w14:textId="77777777" w:rsidR="00355CDA" w:rsidRPr="00F04E6D" w:rsidRDefault="00355CDA" w:rsidP="00001F79">
            <w:pPr>
              <w:pStyle w:val="BodyText2"/>
              <w:spacing w:before="120" w:after="0" w:line="240" w:lineRule="auto"/>
              <w:rPr>
                <w:szCs w:val="28"/>
              </w:rPr>
            </w:pPr>
            <w:r w:rsidRPr="00F04E6D">
              <w:rPr>
                <w:szCs w:val="28"/>
              </w:rPr>
              <w:t>- Quản lý, cập nhật số liệu chính xác trên phần mềm PCGD và duy trì kết quả PCGD THCS và GD bậc Trung học</w:t>
            </w:r>
          </w:p>
          <w:p w14:paraId="63D0AE7E" w14:textId="77777777" w:rsidR="00355CDA" w:rsidRPr="00F04E6D" w:rsidRDefault="00355CDA" w:rsidP="00001F79">
            <w:pPr>
              <w:pStyle w:val="BodyText2"/>
              <w:spacing w:before="120" w:after="0" w:line="240" w:lineRule="auto"/>
              <w:rPr>
                <w:szCs w:val="28"/>
              </w:rPr>
            </w:pPr>
            <w:r w:rsidRPr="00F04E6D">
              <w:rPr>
                <w:szCs w:val="28"/>
              </w:rPr>
              <w:t xml:space="preserve">- Thực hiện tốt công tác phân luồng cho học sinh THCS và THPT tại địa phương (có số liệu theo dõi học sinh sau tốt nghiệp vào học ở cấp học cao hơn).  </w:t>
            </w:r>
          </w:p>
          <w:p w14:paraId="57C2F163" w14:textId="77777777" w:rsidR="00355CDA" w:rsidRPr="00F04E6D" w:rsidRDefault="00355CDA" w:rsidP="00001F79">
            <w:pPr>
              <w:pStyle w:val="BodyText2"/>
              <w:spacing w:before="120" w:after="0" w:line="240" w:lineRule="auto"/>
              <w:rPr>
                <w:szCs w:val="28"/>
              </w:rPr>
            </w:pPr>
            <w:r w:rsidRPr="00F04E6D">
              <w:rPr>
                <w:szCs w:val="28"/>
              </w:rPr>
              <w:t>- Thực hiện hiệu quả GD hòa nhập cho trẻ khuyết tật.</w:t>
            </w:r>
          </w:p>
        </w:tc>
        <w:tc>
          <w:tcPr>
            <w:tcW w:w="545" w:type="pct"/>
            <w:shd w:val="clear" w:color="auto" w:fill="auto"/>
            <w:vAlign w:val="center"/>
          </w:tcPr>
          <w:p w14:paraId="6CB34618" w14:textId="77777777" w:rsidR="00355CDA" w:rsidRPr="00F04E6D" w:rsidRDefault="00355CDA" w:rsidP="00001F79">
            <w:pPr>
              <w:pStyle w:val="BodyText2"/>
              <w:spacing w:after="0" w:line="240" w:lineRule="auto"/>
              <w:jc w:val="center"/>
              <w:rPr>
                <w:szCs w:val="28"/>
              </w:rPr>
            </w:pPr>
            <w:r w:rsidRPr="00F04E6D">
              <w:rPr>
                <w:szCs w:val="28"/>
              </w:rPr>
              <w:lastRenderedPageBreak/>
              <w:t>30 điểm</w:t>
            </w:r>
          </w:p>
        </w:tc>
        <w:tc>
          <w:tcPr>
            <w:tcW w:w="704" w:type="pct"/>
            <w:shd w:val="clear" w:color="auto" w:fill="auto"/>
          </w:tcPr>
          <w:p w14:paraId="3494EC79" w14:textId="77777777" w:rsidR="00355CDA" w:rsidRPr="00F04E6D" w:rsidRDefault="00355CDA" w:rsidP="00001F79">
            <w:pPr>
              <w:pStyle w:val="BodyText2"/>
              <w:spacing w:after="0" w:line="240" w:lineRule="auto"/>
              <w:jc w:val="right"/>
              <w:rPr>
                <w:i/>
                <w:szCs w:val="28"/>
              </w:rPr>
            </w:pPr>
          </w:p>
        </w:tc>
        <w:tc>
          <w:tcPr>
            <w:tcW w:w="779" w:type="pct"/>
          </w:tcPr>
          <w:p w14:paraId="5040AB35" w14:textId="77777777" w:rsidR="00355CDA" w:rsidRPr="00F04E6D" w:rsidRDefault="00355CDA" w:rsidP="00001F79">
            <w:pPr>
              <w:pStyle w:val="BodyText2"/>
              <w:spacing w:after="0" w:line="240" w:lineRule="auto"/>
              <w:jc w:val="right"/>
              <w:rPr>
                <w:i/>
                <w:szCs w:val="28"/>
              </w:rPr>
            </w:pPr>
          </w:p>
        </w:tc>
      </w:tr>
      <w:tr w:rsidR="00355CDA" w:rsidRPr="00F04E6D" w14:paraId="699FB7DD" w14:textId="77777777" w:rsidTr="00001F79">
        <w:tc>
          <w:tcPr>
            <w:tcW w:w="2972" w:type="pct"/>
            <w:shd w:val="clear" w:color="auto" w:fill="auto"/>
          </w:tcPr>
          <w:p w14:paraId="5F54FA6A" w14:textId="77777777" w:rsidR="00355CDA" w:rsidRPr="00F04E6D" w:rsidRDefault="00355CDA" w:rsidP="00001F79">
            <w:pPr>
              <w:pStyle w:val="BodyText2"/>
              <w:spacing w:before="120" w:after="0" w:line="240" w:lineRule="auto"/>
              <w:rPr>
                <w:b/>
                <w:szCs w:val="28"/>
              </w:rPr>
            </w:pPr>
            <w:r w:rsidRPr="00F04E6D">
              <w:rPr>
                <w:b/>
                <w:szCs w:val="28"/>
              </w:rPr>
              <w:lastRenderedPageBreak/>
              <w:t xml:space="preserve">3/- Xây dựng xã hội học tập, nông thôn mới. </w:t>
            </w:r>
          </w:p>
          <w:p w14:paraId="5A179085" w14:textId="77777777" w:rsidR="00355CDA" w:rsidRPr="00F04E6D" w:rsidRDefault="00355CDA" w:rsidP="00001F79">
            <w:pPr>
              <w:pStyle w:val="BodyText2"/>
              <w:spacing w:before="120" w:after="0" w:line="240" w:lineRule="auto"/>
              <w:ind w:left="72"/>
              <w:rPr>
                <w:szCs w:val="28"/>
              </w:rPr>
            </w:pPr>
            <w:r w:rsidRPr="00F04E6D">
              <w:rPr>
                <w:szCs w:val="28"/>
              </w:rPr>
              <w:t>- Tiếp tục giữ vững và duy trì kết quả CMC - phổ cập giáo dục Tiểu học đúng độ tuổi, phổ cập giáo dục THCS, và phổ cập bậc Trung học. Hoàn thành phổ cập giáo dục Mầm non cho trẻ 5 tuổi.</w:t>
            </w:r>
          </w:p>
          <w:p w14:paraId="55101A41" w14:textId="77777777" w:rsidR="00355CDA" w:rsidRPr="00F04E6D" w:rsidRDefault="00355CDA" w:rsidP="00001F79">
            <w:pPr>
              <w:pStyle w:val="BodyText2"/>
              <w:spacing w:before="120" w:after="0" w:line="240" w:lineRule="auto"/>
              <w:ind w:left="72"/>
              <w:rPr>
                <w:szCs w:val="28"/>
              </w:rPr>
            </w:pPr>
            <w:r w:rsidRPr="00F04E6D">
              <w:rPr>
                <w:szCs w:val="28"/>
              </w:rPr>
              <w:t>- Xây dựng xã hội học tập tạo điều kiện cho các Trung tâm Học tập cộng đồng tại địa phương hoạt động tốt.</w:t>
            </w:r>
          </w:p>
          <w:p w14:paraId="65CC0494" w14:textId="77777777" w:rsidR="00355CDA" w:rsidRPr="00F04E6D" w:rsidRDefault="00355CDA" w:rsidP="00001F79">
            <w:pPr>
              <w:pStyle w:val="BodyText2"/>
              <w:spacing w:before="120" w:after="0" w:line="240" w:lineRule="auto"/>
              <w:ind w:left="72"/>
              <w:rPr>
                <w:szCs w:val="28"/>
              </w:rPr>
            </w:pPr>
            <w:r w:rsidRPr="00F04E6D">
              <w:rPr>
                <w:szCs w:val="28"/>
              </w:rPr>
              <w:t>- Tổ chức tốt các hoạt động hưởng ứng “Tuần lễ học tập suốt đời” tại địa phương.</w:t>
            </w:r>
          </w:p>
          <w:p w14:paraId="5ED8A138" w14:textId="77777777" w:rsidR="00355CDA" w:rsidRPr="00F04E6D" w:rsidRDefault="00355CDA" w:rsidP="00001F79">
            <w:pPr>
              <w:pStyle w:val="BodyText2"/>
              <w:spacing w:before="120" w:after="0" w:line="240" w:lineRule="auto"/>
              <w:ind w:left="72"/>
              <w:rPr>
                <w:szCs w:val="28"/>
              </w:rPr>
            </w:pPr>
            <w:r w:rsidRPr="00F04E6D">
              <w:rPr>
                <w:szCs w:val="28"/>
              </w:rPr>
              <w:t>- Hỗ trợ đầu tư cơ sở vật chất, tạo điều kiện cho các trung tâm GDTX trên địa bàn hoạt động có hiệu quả.</w:t>
            </w:r>
          </w:p>
          <w:p w14:paraId="37ADBA0F" w14:textId="77777777" w:rsidR="00355CDA" w:rsidRPr="00F04E6D" w:rsidRDefault="00355CDA" w:rsidP="00001F79">
            <w:pPr>
              <w:pStyle w:val="BodyText2"/>
              <w:spacing w:before="120" w:after="0" w:line="240" w:lineRule="auto"/>
              <w:ind w:left="72"/>
              <w:rPr>
                <w:szCs w:val="28"/>
              </w:rPr>
            </w:pPr>
            <w:r w:rsidRPr="00F04E6D">
              <w:rPr>
                <w:szCs w:val="28"/>
              </w:rPr>
              <w:t xml:space="preserve">- Có nhiều biện pháp nâng cao hiệu quả công tác chống mù chữ, huy động học sinh đến lớp.      </w:t>
            </w:r>
          </w:p>
          <w:p w14:paraId="1EC7ADB0" w14:textId="77777777" w:rsidR="00355CDA" w:rsidRPr="00F04E6D" w:rsidRDefault="00355CDA" w:rsidP="00001F79">
            <w:pPr>
              <w:pStyle w:val="BodyText2"/>
              <w:spacing w:before="120" w:after="0" w:line="240" w:lineRule="auto"/>
              <w:ind w:left="72"/>
              <w:rPr>
                <w:szCs w:val="28"/>
              </w:rPr>
            </w:pPr>
            <w:r w:rsidRPr="00F04E6D">
              <w:rPr>
                <w:szCs w:val="28"/>
              </w:rPr>
              <w:t>- Xây dựng kế hoạch thực hiện tiêu chí nông thôn mới (</w:t>
            </w:r>
            <w:r w:rsidRPr="00F04E6D">
              <w:rPr>
                <w:i/>
                <w:szCs w:val="28"/>
              </w:rPr>
              <w:t>đối với các đơn vị đang xây dựng nông thôn mới</w:t>
            </w:r>
            <w:r w:rsidRPr="00F04E6D">
              <w:rPr>
                <w:szCs w:val="28"/>
              </w:rPr>
              <w:t>).</w:t>
            </w:r>
          </w:p>
        </w:tc>
        <w:tc>
          <w:tcPr>
            <w:tcW w:w="545" w:type="pct"/>
            <w:shd w:val="clear" w:color="auto" w:fill="auto"/>
            <w:vAlign w:val="center"/>
          </w:tcPr>
          <w:p w14:paraId="6D5F036A" w14:textId="77777777" w:rsidR="00355CDA" w:rsidRPr="00F04E6D" w:rsidRDefault="00355CDA" w:rsidP="00001F79">
            <w:pPr>
              <w:pStyle w:val="BodyText2"/>
              <w:spacing w:after="0" w:line="240" w:lineRule="auto"/>
              <w:jc w:val="center"/>
              <w:rPr>
                <w:szCs w:val="28"/>
              </w:rPr>
            </w:pPr>
            <w:r w:rsidRPr="00F04E6D">
              <w:rPr>
                <w:szCs w:val="28"/>
              </w:rPr>
              <w:t>10 điểm</w:t>
            </w:r>
          </w:p>
        </w:tc>
        <w:tc>
          <w:tcPr>
            <w:tcW w:w="704" w:type="pct"/>
            <w:shd w:val="clear" w:color="auto" w:fill="auto"/>
          </w:tcPr>
          <w:p w14:paraId="7112E879" w14:textId="77777777" w:rsidR="00355CDA" w:rsidRPr="00F04E6D" w:rsidRDefault="00355CDA" w:rsidP="00001F79">
            <w:pPr>
              <w:pStyle w:val="BodyText2"/>
              <w:spacing w:after="0" w:line="240" w:lineRule="auto"/>
              <w:jc w:val="right"/>
              <w:rPr>
                <w:i/>
                <w:szCs w:val="28"/>
              </w:rPr>
            </w:pPr>
          </w:p>
        </w:tc>
        <w:tc>
          <w:tcPr>
            <w:tcW w:w="779" w:type="pct"/>
          </w:tcPr>
          <w:p w14:paraId="7D6D6A9B" w14:textId="77777777" w:rsidR="00355CDA" w:rsidRPr="00F04E6D" w:rsidRDefault="00355CDA" w:rsidP="00001F79">
            <w:pPr>
              <w:pStyle w:val="BodyText2"/>
              <w:spacing w:after="0" w:line="240" w:lineRule="auto"/>
              <w:jc w:val="right"/>
              <w:rPr>
                <w:i/>
                <w:szCs w:val="28"/>
              </w:rPr>
            </w:pPr>
          </w:p>
        </w:tc>
      </w:tr>
      <w:tr w:rsidR="00355CDA" w:rsidRPr="00F04E6D" w14:paraId="2E396170" w14:textId="77777777" w:rsidTr="00001F79">
        <w:tc>
          <w:tcPr>
            <w:tcW w:w="2972" w:type="pct"/>
            <w:shd w:val="clear" w:color="auto" w:fill="auto"/>
          </w:tcPr>
          <w:p w14:paraId="2F5D875B" w14:textId="77777777" w:rsidR="00355CDA" w:rsidRPr="00F04E6D" w:rsidRDefault="00355CDA" w:rsidP="00001F79">
            <w:pPr>
              <w:pStyle w:val="BodyText2"/>
              <w:spacing w:before="120" w:after="0" w:line="240" w:lineRule="auto"/>
              <w:rPr>
                <w:b/>
                <w:szCs w:val="28"/>
              </w:rPr>
            </w:pPr>
            <w:r w:rsidRPr="00F04E6D">
              <w:rPr>
                <w:b/>
                <w:szCs w:val="28"/>
              </w:rPr>
              <w:t>4/- Kết quả quản lý nhà nước đối với các cơ sở giáo dục tại địa phương.</w:t>
            </w:r>
          </w:p>
          <w:p w14:paraId="321E8161" w14:textId="77777777" w:rsidR="00355CDA" w:rsidRPr="00F04E6D" w:rsidRDefault="00355CDA" w:rsidP="00001F79">
            <w:pPr>
              <w:pStyle w:val="BodyText2"/>
              <w:spacing w:before="120" w:after="0" w:line="240" w:lineRule="auto"/>
              <w:ind w:left="72"/>
              <w:rPr>
                <w:szCs w:val="28"/>
              </w:rPr>
            </w:pPr>
            <w:r w:rsidRPr="00F04E6D">
              <w:rPr>
                <w:szCs w:val="28"/>
              </w:rPr>
              <w:t>- Giải quyết tốt các chế độ chính sách đối với ngành GD tại địa phương.</w:t>
            </w:r>
          </w:p>
          <w:p w14:paraId="57563F7A" w14:textId="77777777" w:rsidR="00355CDA" w:rsidRPr="00F04E6D" w:rsidRDefault="00355CDA" w:rsidP="00001F79">
            <w:pPr>
              <w:pStyle w:val="BodyText2"/>
              <w:spacing w:before="120" w:after="0" w:line="240" w:lineRule="auto"/>
              <w:ind w:left="72"/>
              <w:rPr>
                <w:szCs w:val="28"/>
              </w:rPr>
            </w:pPr>
            <w:r w:rsidRPr="00F04E6D">
              <w:rPr>
                <w:szCs w:val="28"/>
              </w:rPr>
              <w:t>- Đảm bảo đủ biên chế công chức tối thiểu tại các đơn vị GD trong địa bàn.</w:t>
            </w:r>
          </w:p>
          <w:p w14:paraId="22CE11F9" w14:textId="77777777" w:rsidR="00355CDA" w:rsidRPr="00F04E6D" w:rsidRDefault="00355CDA" w:rsidP="00001F79">
            <w:pPr>
              <w:pStyle w:val="BodyText2"/>
              <w:spacing w:before="120" w:after="0" w:line="240" w:lineRule="auto"/>
              <w:ind w:left="72"/>
              <w:rPr>
                <w:szCs w:val="28"/>
              </w:rPr>
            </w:pPr>
            <w:r w:rsidRPr="00F04E6D">
              <w:rPr>
                <w:szCs w:val="28"/>
              </w:rPr>
              <w:t>- Giải quyết kịp thời các kiến nghị, khiếu nại, tố cáo, của các đơn vị GD tại địa phương (nếu có).</w:t>
            </w:r>
          </w:p>
          <w:p w14:paraId="56945173" w14:textId="77777777" w:rsidR="00355CDA" w:rsidRPr="00F04E6D" w:rsidRDefault="00355CDA" w:rsidP="00001F79">
            <w:pPr>
              <w:pStyle w:val="BodyText2"/>
              <w:spacing w:before="120" w:after="0" w:line="240" w:lineRule="auto"/>
              <w:ind w:left="72"/>
              <w:rPr>
                <w:szCs w:val="28"/>
              </w:rPr>
            </w:pPr>
            <w:r w:rsidRPr="00F04E6D">
              <w:rPr>
                <w:szCs w:val="28"/>
              </w:rPr>
              <w:t>- Phối hợp tổ chức tốt các kỳ thi của ngành GD tại địa phương.</w:t>
            </w:r>
          </w:p>
          <w:p w14:paraId="13059A5F" w14:textId="77777777" w:rsidR="00355CDA" w:rsidRPr="00F04E6D" w:rsidRDefault="00355CDA" w:rsidP="00001F79">
            <w:pPr>
              <w:pStyle w:val="BodyText2"/>
              <w:spacing w:before="120" w:after="0" w:line="240" w:lineRule="auto"/>
              <w:ind w:left="72"/>
              <w:rPr>
                <w:szCs w:val="28"/>
              </w:rPr>
            </w:pPr>
            <w:r w:rsidRPr="00F04E6D">
              <w:rPr>
                <w:szCs w:val="28"/>
              </w:rPr>
              <w:t>- Phân công cán bộ phụ trách theo từng địa bàn phường xã</w:t>
            </w:r>
            <w:r>
              <w:rPr>
                <w:szCs w:val="28"/>
              </w:rPr>
              <w:t>.</w:t>
            </w:r>
            <w:r w:rsidRPr="00F04E6D">
              <w:rPr>
                <w:szCs w:val="28"/>
              </w:rPr>
              <w:t xml:space="preserve"> Thực hiện báo cáo định kỳ, đột xuất</w:t>
            </w:r>
            <w:r>
              <w:rPr>
                <w:szCs w:val="28"/>
              </w:rPr>
              <w:t>, trực tuyến</w:t>
            </w:r>
            <w:r w:rsidRPr="00F04E6D">
              <w:rPr>
                <w:szCs w:val="28"/>
              </w:rPr>
              <w:t xml:space="preserve"> về công tác QLNN </w:t>
            </w:r>
            <w:r>
              <w:rPr>
                <w:szCs w:val="28"/>
              </w:rPr>
              <w:t>đối với</w:t>
            </w:r>
            <w:r w:rsidRPr="00F04E6D">
              <w:rPr>
                <w:szCs w:val="28"/>
              </w:rPr>
              <w:t xml:space="preserve"> giáo dục tại địa phương, kịp thời phối hợp để xử lý các cơ sở GD không phép, sai phép.</w:t>
            </w:r>
          </w:p>
          <w:p w14:paraId="58FFF013" w14:textId="77777777" w:rsidR="00355CDA" w:rsidRPr="00F04E6D" w:rsidRDefault="00355CDA" w:rsidP="00001F79">
            <w:pPr>
              <w:pStyle w:val="BodyText2"/>
              <w:spacing w:before="120" w:after="0" w:line="240" w:lineRule="auto"/>
              <w:ind w:left="72"/>
              <w:rPr>
                <w:szCs w:val="28"/>
              </w:rPr>
            </w:pPr>
            <w:r w:rsidRPr="00F04E6D">
              <w:rPr>
                <w:szCs w:val="28"/>
              </w:rPr>
              <w:t>- Cấp phép, quản lý dạy thêm, học thêm đúng qui định.</w:t>
            </w:r>
          </w:p>
          <w:p w14:paraId="6DA9E044" w14:textId="77777777" w:rsidR="00355CDA" w:rsidRPr="00F04E6D" w:rsidRDefault="00355CDA" w:rsidP="00001F79">
            <w:pPr>
              <w:pStyle w:val="BodyText2"/>
              <w:spacing w:before="120" w:after="0" w:line="240" w:lineRule="auto"/>
              <w:ind w:left="72"/>
              <w:rPr>
                <w:szCs w:val="28"/>
              </w:rPr>
            </w:pPr>
            <w:r w:rsidRPr="00F04E6D">
              <w:rPr>
                <w:szCs w:val="28"/>
              </w:rPr>
              <w:t xml:space="preserve">- Tình hình an ninh chính trị khu vực trường học tốt; có ký kết liên tịch và hỗ trợ phối hợp tốt giữa chính quyền phường, xã, lực lượng công an và các cơ sở giáo dục trên địa bàn. </w:t>
            </w:r>
          </w:p>
          <w:p w14:paraId="290D88F7" w14:textId="77777777" w:rsidR="00355CDA" w:rsidRPr="00F04E6D" w:rsidRDefault="00355CDA" w:rsidP="00001F79">
            <w:pPr>
              <w:pStyle w:val="BodyText2"/>
              <w:spacing w:before="120" w:after="0" w:line="240" w:lineRule="auto"/>
              <w:ind w:left="72"/>
              <w:rPr>
                <w:szCs w:val="28"/>
              </w:rPr>
            </w:pPr>
            <w:r w:rsidRPr="00F04E6D">
              <w:rPr>
                <w:szCs w:val="28"/>
              </w:rPr>
              <w:lastRenderedPageBreak/>
              <w:t xml:space="preserve">- Thực hiện linh hoạt công tác tổ chức cán bộ, bố trí, điều động cán bộ công chức ngành giáo dục hợp lý.  </w:t>
            </w:r>
          </w:p>
          <w:p w14:paraId="074C33BE" w14:textId="77777777" w:rsidR="00355CDA" w:rsidRPr="00F04E6D" w:rsidRDefault="00355CDA" w:rsidP="00001F79">
            <w:pPr>
              <w:pStyle w:val="BodyText2"/>
              <w:spacing w:before="120" w:after="0" w:line="240" w:lineRule="auto"/>
              <w:ind w:left="72"/>
              <w:rPr>
                <w:szCs w:val="28"/>
              </w:rPr>
            </w:pPr>
            <w:r w:rsidRPr="00F04E6D">
              <w:rPr>
                <w:szCs w:val="28"/>
              </w:rPr>
              <w:t>- Thực hiện tốt công tác thanh tra, kiểm tra, giám sát các đơn vị GD tại địa phương. Quản lý dạy thêm học thêm đúng qui định.</w:t>
            </w:r>
          </w:p>
          <w:p w14:paraId="1169A27E" w14:textId="77777777" w:rsidR="00355CDA" w:rsidRPr="00F04E6D" w:rsidRDefault="00355CDA" w:rsidP="00001F79">
            <w:pPr>
              <w:pStyle w:val="BodyText2"/>
              <w:spacing w:before="120" w:after="0" w:line="240" w:lineRule="auto"/>
              <w:ind w:left="72"/>
              <w:rPr>
                <w:szCs w:val="28"/>
              </w:rPr>
            </w:pPr>
            <w:r w:rsidRPr="00F04E6D">
              <w:rPr>
                <w:szCs w:val="28"/>
              </w:rPr>
              <w:t xml:space="preserve">-  Kịp thời phát hiện, báo cáo những cơ sở GD trên địa bàn có những hoạt động chưa đúng những quy định của pháp luật và phối hợp xử lý những vi phạm. </w:t>
            </w:r>
          </w:p>
        </w:tc>
        <w:tc>
          <w:tcPr>
            <w:tcW w:w="545" w:type="pct"/>
            <w:shd w:val="clear" w:color="auto" w:fill="auto"/>
            <w:vAlign w:val="center"/>
          </w:tcPr>
          <w:p w14:paraId="1C8B8488" w14:textId="77777777" w:rsidR="00355CDA" w:rsidRPr="00F04E6D" w:rsidRDefault="00355CDA" w:rsidP="00001F79">
            <w:pPr>
              <w:pStyle w:val="BodyText2"/>
              <w:spacing w:after="0" w:line="240" w:lineRule="auto"/>
              <w:jc w:val="center"/>
              <w:rPr>
                <w:szCs w:val="28"/>
              </w:rPr>
            </w:pPr>
            <w:r w:rsidRPr="00F04E6D">
              <w:rPr>
                <w:szCs w:val="28"/>
              </w:rPr>
              <w:lastRenderedPageBreak/>
              <w:t>20 điểm</w:t>
            </w:r>
          </w:p>
        </w:tc>
        <w:tc>
          <w:tcPr>
            <w:tcW w:w="704" w:type="pct"/>
            <w:shd w:val="clear" w:color="auto" w:fill="auto"/>
          </w:tcPr>
          <w:p w14:paraId="2F681732" w14:textId="77777777" w:rsidR="00355CDA" w:rsidRPr="00F04E6D" w:rsidRDefault="00355CDA" w:rsidP="00001F79">
            <w:pPr>
              <w:pStyle w:val="BodyText2"/>
              <w:spacing w:after="0" w:line="240" w:lineRule="auto"/>
              <w:jc w:val="right"/>
              <w:rPr>
                <w:i/>
                <w:szCs w:val="28"/>
              </w:rPr>
            </w:pPr>
          </w:p>
        </w:tc>
        <w:tc>
          <w:tcPr>
            <w:tcW w:w="779" w:type="pct"/>
          </w:tcPr>
          <w:p w14:paraId="474E9F12" w14:textId="77777777" w:rsidR="00355CDA" w:rsidRPr="00F04E6D" w:rsidRDefault="00355CDA" w:rsidP="00001F79">
            <w:pPr>
              <w:pStyle w:val="BodyText2"/>
              <w:spacing w:after="0" w:line="240" w:lineRule="auto"/>
              <w:jc w:val="right"/>
              <w:rPr>
                <w:i/>
                <w:szCs w:val="28"/>
              </w:rPr>
            </w:pPr>
          </w:p>
        </w:tc>
      </w:tr>
      <w:tr w:rsidR="00355CDA" w:rsidRPr="00F04E6D" w14:paraId="2AFAEB92" w14:textId="77777777" w:rsidTr="00001F79">
        <w:tc>
          <w:tcPr>
            <w:tcW w:w="2972" w:type="pct"/>
            <w:shd w:val="clear" w:color="auto" w:fill="auto"/>
          </w:tcPr>
          <w:p w14:paraId="6A5BCEBE" w14:textId="77777777" w:rsidR="00355CDA" w:rsidRPr="00F04E6D" w:rsidRDefault="00355CDA" w:rsidP="00001F79">
            <w:pPr>
              <w:pStyle w:val="BodyText2"/>
              <w:spacing w:before="120" w:after="0" w:line="240" w:lineRule="auto"/>
              <w:rPr>
                <w:b/>
                <w:szCs w:val="28"/>
              </w:rPr>
            </w:pPr>
            <w:r w:rsidRPr="00F04E6D">
              <w:rPr>
                <w:b/>
                <w:szCs w:val="28"/>
              </w:rPr>
              <w:t>5/- Về công tác xã hội hóa giáo dục:</w:t>
            </w:r>
          </w:p>
          <w:p w14:paraId="5F172CAF" w14:textId="77777777" w:rsidR="00355CDA" w:rsidRPr="00F04E6D" w:rsidRDefault="00355CDA" w:rsidP="00001F79">
            <w:pPr>
              <w:pStyle w:val="BodyText2"/>
              <w:spacing w:before="120" w:after="0" w:line="240" w:lineRule="auto"/>
              <w:rPr>
                <w:szCs w:val="28"/>
              </w:rPr>
            </w:pPr>
            <w:r w:rsidRPr="00F04E6D">
              <w:rPr>
                <w:szCs w:val="28"/>
              </w:rPr>
              <w:t xml:space="preserve">- Có kế hoạch cụ thể trong công tác phối hợp với các cơ sở giáo dục tại địa phương. </w:t>
            </w:r>
          </w:p>
          <w:p w14:paraId="171A115D" w14:textId="77777777" w:rsidR="00355CDA" w:rsidRPr="00F04E6D" w:rsidRDefault="00355CDA" w:rsidP="00001F79">
            <w:pPr>
              <w:pStyle w:val="BodyText2"/>
              <w:spacing w:before="120" w:after="0" w:line="240" w:lineRule="auto"/>
              <w:rPr>
                <w:szCs w:val="28"/>
              </w:rPr>
            </w:pPr>
            <w:r w:rsidRPr="00F04E6D">
              <w:rPr>
                <w:szCs w:val="28"/>
              </w:rPr>
              <w:t xml:space="preserve">- Thực hiện tốt Đại hội giáo dục các cấp, có kế hoạch cụ thể trong công tác phối hợp với các cơ sở giáo dục tại địa phương. </w:t>
            </w:r>
          </w:p>
          <w:p w14:paraId="5E18E3D1" w14:textId="77777777" w:rsidR="00355CDA" w:rsidRPr="00F04E6D" w:rsidRDefault="00355CDA" w:rsidP="00001F79">
            <w:pPr>
              <w:pStyle w:val="BodyText2"/>
              <w:spacing w:before="120" w:after="0" w:line="240" w:lineRule="auto"/>
              <w:rPr>
                <w:szCs w:val="28"/>
              </w:rPr>
            </w:pPr>
            <w:r w:rsidRPr="00F04E6D">
              <w:rPr>
                <w:szCs w:val="28"/>
              </w:rPr>
              <w:t xml:space="preserve">- Chỉ đạo và phối hợp tổ chức thực hiện tốt phong trào thi đua “Xây dựng trường học thân thiện, học sinh tích cực” và các cuộc vận động của ngành GD. </w:t>
            </w:r>
          </w:p>
          <w:p w14:paraId="7BE8AA41" w14:textId="77777777" w:rsidR="00355CDA" w:rsidRPr="00F04E6D" w:rsidRDefault="00355CDA" w:rsidP="00001F79">
            <w:pPr>
              <w:pStyle w:val="BodyText2"/>
              <w:spacing w:before="120" w:after="0" w:line="240" w:lineRule="auto"/>
              <w:rPr>
                <w:szCs w:val="28"/>
              </w:rPr>
            </w:pPr>
            <w:r w:rsidRPr="00F04E6D">
              <w:rPr>
                <w:szCs w:val="28"/>
              </w:rPr>
              <w:t>- Xây dựng đề án, kế hoạch về phát triển GD của địa phương.</w:t>
            </w:r>
          </w:p>
          <w:p w14:paraId="27D87DF2" w14:textId="77777777" w:rsidR="00355CDA" w:rsidRPr="00F04E6D" w:rsidRDefault="00355CDA" w:rsidP="00001F79">
            <w:pPr>
              <w:pStyle w:val="BodyText2"/>
              <w:spacing w:before="120" w:after="0" w:line="240" w:lineRule="auto"/>
              <w:rPr>
                <w:szCs w:val="28"/>
              </w:rPr>
            </w:pPr>
            <w:r w:rsidRPr="00F04E6D">
              <w:rPr>
                <w:szCs w:val="28"/>
              </w:rPr>
              <w:t>- Tuyên truyền huy động các nguồn lực cùng chăm lo sự nghiệp giáo dục tại địa phương.</w:t>
            </w:r>
          </w:p>
          <w:p w14:paraId="376469FB" w14:textId="77777777" w:rsidR="00355CDA" w:rsidRPr="00F04E6D" w:rsidRDefault="00355CDA" w:rsidP="00001F79">
            <w:pPr>
              <w:pStyle w:val="BodyText2"/>
              <w:spacing w:before="120" w:after="0" w:line="240" w:lineRule="auto"/>
              <w:rPr>
                <w:szCs w:val="28"/>
              </w:rPr>
            </w:pPr>
            <w:r w:rsidRPr="00F04E6D">
              <w:rPr>
                <w:szCs w:val="28"/>
              </w:rPr>
              <w:t>- Có chính sách đãi ngộ đối với nhà giáo, hỗ trợ cải thiện đời sống cho đội ngũ GV công tác tại các trường chuyên biệt.</w:t>
            </w:r>
          </w:p>
        </w:tc>
        <w:tc>
          <w:tcPr>
            <w:tcW w:w="545" w:type="pct"/>
            <w:shd w:val="clear" w:color="auto" w:fill="auto"/>
            <w:vAlign w:val="center"/>
          </w:tcPr>
          <w:p w14:paraId="22429D73" w14:textId="77777777" w:rsidR="00355CDA" w:rsidRPr="00F04E6D" w:rsidRDefault="00355CDA" w:rsidP="00001F79">
            <w:pPr>
              <w:pStyle w:val="BodyText2"/>
              <w:spacing w:after="0" w:line="240" w:lineRule="auto"/>
              <w:jc w:val="center"/>
              <w:rPr>
                <w:szCs w:val="28"/>
              </w:rPr>
            </w:pPr>
            <w:r w:rsidRPr="00F04E6D">
              <w:rPr>
                <w:szCs w:val="28"/>
              </w:rPr>
              <w:t>20 điểm</w:t>
            </w:r>
          </w:p>
        </w:tc>
        <w:tc>
          <w:tcPr>
            <w:tcW w:w="704" w:type="pct"/>
            <w:shd w:val="clear" w:color="auto" w:fill="auto"/>
          </w:tcPr>
          <w:p w14:paraId="709F0164" w14:textId="77777777" w:rsidR="00355CDA" w:rsidRPr="00F04E6D" w:rsidRDefault="00355CDA" w:rsidP="00001F79">
            <w:pPr>
              <w:pStyle w:val="BodyText2"/>
              <w:spacing w:after="0" w:line="240" w:lineRule="auto"/>
              <w:jc w:val="right"/>
              <w:rPr>
                <w:i/>
                <w:szCs w:val="28"/>
              </w:rPr>
            </w:pPr>
          </w:p>
        </w:tc>
        <w:tc>
          <w:tcPr>
            <w:tcW w:w="779" w:type="pct"/>
          </w:tcPr>
          <w:p w14:paraId="1F055782" w14:textId="77777777" w:rsidR="00355CDA" w:rsidRPr="00F04E6D" w:rsidRDefault="00355CDA" w:rsidP="00001F79">
            <w:pPr>
              <w:pStyle w:val="BodyText2"/>
              <w:spacing w:after="0" w:line="240" w:lineRule="auto"/>
              <w:jc w:val="right"/>
              <w:rPr>
                <w:i/>
                <w:szCs w:val="28"/>
              </w:rPr>
            </w:pPr>
          </w:p>
        </w:tc>
      </w:tr>
      <w:tr w:rsidR="00355CDA" w:rsidRPr="00F04E6D" w14:paraId="62D84C1E" w14:textId="77777777" w:rsidTr="00001F79">
        <w:tc>
          <w:tcPr>
            <w:tcW w:w="2972" w:type="pct"/>
            <w:shd w:val="clear" w:color="auto" w:fill="auto"/>
          </w:tcPr>
          <w:p w14:paraId="772C159B" w14:textId="77777777" w:rsidR="00355CDA" w:rsidRPr="00F04E6D" w:rsidRDefault="00355CDA" w:rsidP="00001F79">
            <w:pPr>
              <w:pStyle w:val="BodyText2"/>
              <w:tabs>
                <w:tab w:val="num" w:pos="176"/>
              </w:tabs>
              <w:spacing w:after="0" w:line="240" w:lineRule="auto"/>
              <w:ind w:left="318" w:hanging="284"/>
              <w:jc w:val="center"/>
              <w:rPr>
                <w:b/>
                <w:szCs w:val="28"/>
              </w:rPr>
            </w:pPr>
            <w:r w:rsidRPr="00F04E6D">
              <w:rPr>
                <w:b/>
                <w:szCs w:val="28"/>
              </w:rPr>
              <w:t>Tổng cộng</w:t>
            </w:r>
          </w:p>
        </w:tc>
        <w:tc>
          <w:tcPr>
            <w:tcW w:w="545" w:type="pct"/>
            <w:shd w:val="clear" w:color="auto" w:fill="auto"/>
          </w:tcPr>
          <w:p w14:paraId="7145C5C7" w14:textId="77777777" w:rsidR="00355CDA" w:rsidRPr="00F04E6D" w:rsidRDefault="00355CDA" w:rsidP="00001F79">
            <w:pPr>
              <w:pStyle w:val="BodyText2"/>
              <w:spacing w:after="0" w:line="240" w:lineRule="auto"/>
              <w:jc w:val="center"/>
              <w:rPr>
                <w:b/>
                <w:szCs w:val="28"/>
              </w:rPr>
            </w:pPr>
            <w:r>
              <w:rPr>
                <w:b/>
                <w:szCs w:val="28"/>
              </w:rPr>
              <w:t>100</w:t>
            </w:r>
          </w:p>
        </w:tc>
        <w:tc>
          <w:tcPr>
            <w:tcW w:w="704" w:type="pct"/>
            <w:shd w:val="clear" w:color="auto" w:fill="auto"/>
          </w:tcPr>
          <w:p w14:paraId="1CC167D8" w14:textId="77777777" w:rsidR="00355CDA" w:rsidRPr="00F04E6D" w:rsidRDefault="00355CDA" w:rsidP="00001F79">
            <w:pPr>
              <w:pStyle w:val="BodyText2"/>
              <w:spacing w:after="0" w:line="240" w:lineRule="auto"/>
              <w:jc w:val="right"/>
              <w:rPr>
                <w:i/>
                <w:szCs w:val="28"/>
              </w:rPr>
            </w:pPr>
          </w:p>
        </w:tc>
        <w:tc>
          <w:tcPr>
            <w:tcW w:w="779" w:type="pct"/>
          </w:tcPr>
          <w:p w14:paraId="42B98962" w14:textId="77777777" w:rsidR="00355CDA" w:rsidRPr="00F04E6D" w:rsidRDefault="00355CDA" w:rsidP="00001F79">
            <w:pPr>
              <w:pStyle w:val="BodyText2"/>
              <w:spacing w:after="0" w:line="240" w:lineRule="auto"/>
              <w:jc w:val="right"/>
              <w:rPr>
                <w:i/>
                <w:szCs w:val="28"/>
              </w:rPr>
            </w:pPr>
          </w:p>
        </w:tc>
      </w:tr>
    </w:tbl>
    <w:p w14:paraId="1EECFABC" w14:textId="77777777" w:rsidR="00355CDA" w:rsidRDefault="00355CDA" w:rsidP="00355CDA">
      <w:pPr>
        <w:spacing w:before="20" w:after="20"/>
        <w:rPr>
          <w:szCs w:val="28"/>
        </w:rPr>
      </w:pPr>
    </w:p>
    <w:p w14:paraId="045BBDFD" w14:textId="77777777" w:rsidR="00355CDA" w:rsidRPr="00F47C97" w:rsidRDefault="00355CDA" w:rsidP="00355CDA">
      <w:pPr>
        <w:spacing w:before="20" w:after="20"/>
        <w:rPr>
          <w:szCs w:val="28"/>
        </w:rPr>
      </w:pPr>
      <w:r w:rsidRPr="00F47C97">
        <w:rPr>
          <w:szCs w:val="28"/>
        </w:rPr>
        <w:t>*</w:t>
      </w:r>
      <w:r>
        <w:rPr>
          <w:szCs w:val="28"/>
        </w:rPr>
        <w:t xml:space="preserve"> </w:t>
      </w:r>
      <w:r w:rsidRPr="00F47C97">
        <w:rPr>
          <w:szCs w:val="28"/>
          <w:u w:val="single"/>
        </w:rPr>
        <w:t>Kết quả</w:t>
      </w:r>
      <w:r w:rsidRPr="00F47C97">
        <w:rPr>
          <w:szCs w:val="28"/>
        </w:rPr>
        <w:t>:</w:t>
      </w:r>
    </w:p>
    <w:p w14:paraId="4E945585" w14:textId="77777777" w:rsidR="00355CDA" w:rsidRPr="00F47C97" w:rsidRDefault="00355CDA" w:rsidP="00355CDA">
      <w:pPr>
        <w:numPr>
          <w:ilvl w:val="0"/>
          <w:numId w:val="1"/>
        </w:numPr>
        <w:tabs>
          <w:tab w:val="clear" w:pos="360"/>
          <w:tab w:val="num" w:pos="1080"/>
          <w:tab w:val="left" w:pos="2552"/>
        </w:tabs>
        <w:spacing w:before="20" w:after="20"/>
        <w:ind w:left="1080"/>
        <w:rPr>
          <w:szCs w:val="28"/>
        </w:rPr>
      </w:pPr>
      <w:r w:rsidRPr="00F47C97">
        <w:rPr>
          <w:szCs w:val="28"/>
        </w:rPr>
        <w:t xml:space="preserve">Xuất sắc: </w:t>
      </w:r>
      <w:r w:rsidRPr="00F47C97">
        <w:rPr>
          <w:szCs w:val="28"/>
        </w:rPr>
        <w:tab/>
        <w:t>từ 90 – 100 điểm</w:t>
      </w:r>
    </w:p>
    <w:p w14:paraId="2BA1BB84" w14:textId="77777777" w:rsidR="00355CDA" w:rsidRPr="00F47C97" w:rsidRDefault="00355CDA" w:rsidP="00355CDA">
      <w:pPr>
        <w:numPr>
          <w:ilvl w:val="0"/>
          <w:numId w:val="1"/>
        </w:numPr>
        <w:tabs>
          <w:tab w:val="clear" w:pos="360"/>
          <w:tab w:val="num" w:pos="1080"/>
          <w:tab w:val="left" w:pos="2552"/>
        </w:tabs>
        <w:spacing w:before="20" w:after="20"/>
        <w:ind w:left="1080"/>
        <w:rPr>
          <w:szCs w:val="28"/>
        </w:rPr>
      </w:pPr>
      <w:r w:rsidRPr="00F47C97">
        <w:rPr>
          <w:szCs w:val="28"/>
        </w:rPr>
        <w:t xml:space="preserve">Tốt: </w:t>
      </w:r>
      <w:r w:rsidRPr="00F47C97">
        <w:rPr>
          <w:szCs w:val="28"/>
        </w:rPr>
        <w:tab/>
        <w:t>từ 80 – 89 điểm</w:t>
      </w:r>
    </w:p>
    <w:p w14:paraId="76A37584" w14:textId="77777777" w:rsidR="00355CDA" w:rsidRPr="00F47C97" w:rsidRDefault="00355CDA" w:rsidP="00355CDA">
      <w:pPr>
        <w:numPr>
          <w:ilvl w:val="0"/>
          <w:numId w:val="1"/>
        </w:numPr>
        <w:tabs>
          <w:tab w:val="clear" w:pos="360"/>
          <w:tab w:val="num" w:pos="1080"/>
          <w:tab w:val="left" w:pos="2552"/>
        </w:tabs>
        <w:spacing w:before="20" w:after="20"/>
        <w:ind w:left="1080"/>
        <w:rPr>
          <w:szCs w:val="28"/>
        </w:rPr>
      </w:pPr>
      <w:r w:rsidRPr="00F47C97">
        <w:rPr>
          <w:szCs w:val="28"/>
        </w:rPr>
        <w:t xml:space="preserve">Khá: </w:t>
      </w:r>
      <w:r w:rsidRPr="00F47C97">
        <w:rPr>
          <w:szCs w:val="28"/>
        </w:rPr>
        <w:tab/>
        <w:t>từ 70 – 79 điểm</w:t>
      </w:r>
    </w:p>
    <w:p w14:paraId="77E03C7D" w14:textId="77777777" w:rsidR="00355CDA" w:rsidRPr="00F47C97" w:rsidRDefault="00355CDA" w:rsidP="00355CDA">
      <w:pPr>
        <w:numPr>
          <w:ilvl w:val="0"/>
          <w:numId w:val="1"/>
        </w:numPr>
        <w:tabs>
          <w:tab w:val="clear" w:pos="360"/>
          <w:tab w:val="num" w:pos="1080"/>
          <w:tab w:val="left" w:pos="2552"/>
        </w:tabs>
        <w:spacing w:before="20" w:after="20"/>
        <w:ind w:left="1080"/>
        <w:rPr>
          <w:szCs w:val="28"/>
        </w:rPr>
      </w:pPr>
      <w:r w:rsidRPr="00F47C97">
        <w:rPr>
          <w:szCs w:val="28"/>
        </w:rPr>
        <w:t xml:space="preserve">Trung bình: </w:t>
      </w:r>
      <w:r w:rsidRPr="00F47C97">
        <w:rPr>
          <w:szCs w:val="28"/>
        </w:rPr>
        <w:tab/>
        <w:t>từ 50 – 69 điểm</w:t>
      </w:r>
    </w:p>
    <w:p w14:paraId="4992DD29" w14:textId="53160F34" w:rsidR="00FF3549" w:rsidRDefault="00355CDA" w:rsidP="00CD74B0">
      <w:pPr>
        <w:numPr>
          <w:ilvl w:val="0"/>
          <w:numId w:val="1"/>
        </w:numPr>
        <w:tabs>
          <w:tab w:val="clear" w:pos="360"/>
          <w:tab w:val="num" w:pos="1080"/>
          <w:tab w:val="left" w:pos="2552"/>
        </w:tabs>
        <w:spacing w:before="20" w:after="20"/>
        <w:ind w:left="1080"/>
      </w:pPr>
      <w:r w:rsidRPr="00CD74B0">
        <w:rPr>
          <w:szCs w:val="28"/>
        </w:rPr>
        <w:t xml:space="preserve">Yếu: </w:t>
      </w:r>
      <w:r w:rsidRPr="00CD74B0">
        <w:rPr>
          <w:szCs w:val="28"/>
        </w:rPr>
        <w:tab/>
        <w:t>dưới 50 điểm</w:t>
      </w:r>
      <w:bookmarkStart w:id="0" w:name="_GoBack"/>
      <w:bookmarkEnd w:id="0"/>
    </w:p>
    <w:sectPr w:rsidR="00FF3549" w:rsidSect="00EF5769">
      <w:footerReference w:type="default" r:id="rId7"/>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C6077" w14:textId="77777777" w:rsidR="001157C2" w:rsidRDefault="001157C2" w:rsidP="00F56447">
      <w:r>
        <w:separator/>
      </w:r>
    </w:p>
  </w:endnote>
  <w:endnote w:type="continuationSeparator" w:id="0">
    <w:p w14:paraId="51D887EF" w14:textId="77777777" w:rsidR="001157C2" w:rsidRDefault="001157C2" w:rsidP="00F5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2593A" w14:textId="77777777" w:rsidR="00F56447" w:rsidRDefault="00F56447" w:rsidP="00F56447">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6B430" w14:textId="77777777" w:rsidR="001157C2" w:rsidRDefault="001157C2" w:rsidP="00F56447">
      <w:r>
        <w:separator/>
      </w:r>
    </w:p>
  </w:footnote>
  <w:footnote w:type="continuationSeparator" w:id="0">
    <w:p w14:paraId="38A09914" w14:textId="77777777" w:rsidR="001157C2" w:rsidRDefault="001157C2" w:rsidP="00F56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D629F"/>
    <w:multiLevelType w:val="hybridMultilevel"/>
    <w:tmpl w:val="83A23BAC"/>
    <w:lvl w:ilvl="0" w:tplc="1F208C06">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DA"/>
    <w:rsid w:val="000B61AE"/>
    <w:rsid w:val="001157C2"/>
    <w:rsid w:val="00355CDA"/>
    <w:rsid w:val="004F5721"/>
    <w:rsid w:val="006765AE"/>
    <w:rsid w:val="00795108"/>
    <w:rsid w:val="007B33BF"/>
    <w:rsid w:val="008D6A86"/>
    <w:rsid w:val="00C0680A"/>
    <w:rsid w:val="00CD1337"/>
    <w:rsid w:val="00CD74B0"/>
    <w:rsid w:val="00ED00EB"/>
    <w:rsid w:val="00EF5769"/>
    <w:rsid w:val="00F56447"/>
    <w:rsid w:val="00FF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5076"/>
  <w15:chartTrackingRefBased/>
  <w15:docId w15:val="{1C5AF6FA-744D-4DBB-8646-3F279D0E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355CDA"/>
    <w:pPr>
      <w:spacing w:after="120" w:line="480" w:lineRule="auto"/>
    </w:pPr>
  </w:style>
  <w:style w:type="character" w:customStyle="1" w:styleId="BodyText2Char">
    <w:name w:val="Body Text 2 Char"/>
    <w:basedOn w:val="DefaultParagraphFont"/>
    <w:link w:val="BodyText2"/>
    <w:rsid w:val="00355CDA"/>
  </w:style>
  <w:style w:type="character" w:styleId="Strong">
    <w:name w:val="Strong"/>
    <w:qFormat/>
    <w:rsid w:val="00355CDA"/>
    <w:rPr>
      <w:b/>
      <w:bCs/>
    </w:rPr>
  </w:style>
  <w:style w:type="paragraph" w:styleId="Header">
    <w:name w:val="header"/>
    <w:basedOn w:val="Normal"/>
    <w:link w:val="HeaderChar"/>
    <w:uiPriority w:val="99"/>
    <w:unhideWhenUsed/>
    <w:rsid w:val="00F56447"/>
    <w:pPr>
      <w:tabs>
        <w:tab w:val="center" w:pos="4680"/>
        <w:tab w:val="right" w:pos="9360"/>
      </w:tabs>
    </w:pPr>
  </w:style>
  <w:style w:type="character" w:customStyle="1" w:styleId="HeaderChar">
    <w:name w:val="Header Char"/>
    <w:basedOn w:val="DefaultParagraphFont"/>
    <w:link w:val="Header"/>
    <w:uiPriority w:val="99"/>
    <w:rsid w:val="00F56447"/>
  </w:style>
  <w:style w:type="paragraph" w:styleId="Footer">
    <w:name w:val="footer"/>
    <w:basedOn w:val="Normal"/>
    <w:link w:val="FooterChar"/>
    <w:uiPriority w:val="99"/>
    <w:unhideWhenUsed/>
    <w:rsid w:val="00F56447"/>
    <w:pPr>
      <w:tabs>
        <w:tab w:val="center" w:pos="4680"/>
        <w:tab w:val="right" w:pos="9360"/>
      </w:tabs>
    </w:pPr>
  </w:style>
  <w:style w:type="character" w:customStyle="1" w:styleId="FooterChar">
    <w:name w:val="Footer Char"/>
    <w:basedOn w:val="DefaultParagraphFont"/>
    <w:link w:val="Footer"/>
    <w:uiPriority w:val="99"/>
    <w:rsid w:val="00F56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Minh Quy</dc:creator>
  <cp:keywords/>
  <dc:description/>
  <cp:lastModifiedBy>Hung HV</cp:lastModifiedBy>
  <cp:revision>4</cp:revision>
  <dcterms:created xsi:type="dcterms:W3CDTF">2018-10-19T07:19:00Z</dcterms:created>
  <dcterms:modified xsi:type="dcterms:W3CDTF">2019-05-07T08:09:00Z</dcterms:modified>
</cp:coreProperties>
</file>